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1. Functie-informatie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Codering </w:t>
      </w:r>
      <w:r>
        <w:rPr>
          <w:rFonts w:ascii="Times New Roman" w:hAnsi="Times New Roman" w:cs="Times New Roman"/>
          <w:sz w:val="20"/>
          <w:szCs w:val="20"/>
        </w:rPr>
        <w:t xml:space="preserve">20100212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Functienaam </w:t>
      </w:r>
      <w:r>
        <w:rPr>
          <w:rFonts w:ascii="Times New Roman" w:hAnsi="Times New Roman" w:cs="Times New Roman"/>
          <w:sz w:val="20"/>
          <w:szCs w:val="20"/>
        </w:rPr>
        <w:t xml:space="preserve">Docent LB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Salarisschaal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Indelingsniveau </w:t>
      </w:r>
      <w:proofErr w:type="spellStart"/>
      <w:r>
        <w:rPr>
          <w:rFonts w:ascii="Times New Roman" w:hAnsi="Times New Roman" w:cs="Times New Roman"/>
          <w:sz w:val="20"/>
          <w:szCs w:val="20"/>
        </w:rPr>
        <w:t>IVc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Werkterrein </w:t>
      </w:r>
      <w:r>
        <w:rPr>
          <w:rFonts w:ascii="Times New Roman" w:hAnsi="Times New Roman" w:cs="Times New Roman"/>
          <w:sz w:val="20"/>
          <w:szCs w:val="20"/>
        </w:rPr>
        <w:t xml:space="preserve">Onderwijsproces -&gt; Docenten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Activiteiten </w:t>
      </w:r>
      <w:r>
        <w:rPr>
          <w:rFonts w:ascii="Times New Roman" w:hAnsi="Times New Roman" w:cs="Times New Roman"/>
          <w:sz w:val="20"/>
          <w:szCs w:val="20"/>
        </w:rPr>
        <w:t xml:space="preserve">Overdragen van informatie en vaardigheden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Kenmerkscores </w:t>
      </w:r>
      <w:r>
        <w:rPr>
          <w:rFonts w:ascii="Times New Roman" w:hAnsi="Times New Roman" w:cs="Times New Roman"/>
          <w:sz w:val="20"/>
          <w:szCs w:val="20"/>
        </w:rPr>
        <w:t xml:space="preserve">43343 43333 33 43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b/>
          <w:bCs/>
          <w:sz w:val="18"/>
          <w:szCs w:val="18"/>
        </w:rPr>
        <w:t>Somscore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46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Versie </w:t>
      </w:r>
      <w:r>
        <w:rPr>
          <w:rFonts w:ascii="Times New Roman" w:hAnsi="Times New Roman" w:cs="Times New Roman"/>
          <w:sz w:val="20"/>
          <w:szCs w:val="20"/>
        </w:rPr>
        <w:t xml:space="preserve">2010.1.62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Status </w:t>
      </w:r>
      <w:r>
        <w:rPr>
          <w:rFonts w:ascii="Times New Roman" w:hAnsi="Times New Roman" w:cs="Times New Roman"/>
          <w:sz w:val="20"/>
          <w:szCs w:val="20"/>
        </w:rPr>
        <w:t xml:space="preserve">BN </w:t>
      </w:r>
    </w:p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2. Context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werkzaamheden worden uitgevoerd binnen een instelling voor voortgezet onderwijs.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werkzaamheden vinden plaats binnen het primaire proces van de schoolorganisatie.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docent is verantwoordelijk voor het verzorgen van het onderwijs, leerlingbegeleiding,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onderwijsontwikkeling, beoordeling van leerlingen en professionalisering. </w:t>
      </w:r>
    </w:p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3. Werkzaamheden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1: Onderwijs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draagt kennis/ expertise en vaardigheden over;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hanteert verschillende didactische werkvormen en leeractiviteiten;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houdt zich op de hoogte van relevante ontwikkelingen in het veld en vakinhoudelijke ontwikkeling (ook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pedagogisch/didactisch) en vertaalt deze naar het onderwijs;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maakt inhoudelijke ontwikkelingen op het kennisdomein en in de ervaringspraktijk inzichtelijk;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speelt in op de groepsprocessen van leerlingen met verschillende achtergronden;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creëert een pedagogisch klimaat waarin leerlingen zich veilig en gewaardeerd voelen.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2: Begeleiding van leerlingen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stimuleert leerlingen om zelfstandig te (leren) leren;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begeleidt leerlingen met verschillende sociaal-culturele achtergronden;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zorgt voor passend onderwijs;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helpt leerlingen inzicht te krijgen in hun eigen voortgang en stimuleert hen de beoogde doelstellingen te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bereiken;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definieert voortgangsmomenten en stuurt hierop in het leerproces;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signaleert en onderkent leer- en gedragsproblemen van leerlingen, maakt deze bespreekbaar met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collega's en (in- of externe) deskundigen en onderhoudt hierover contacten met ouders;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onderhoudt contacten met ouders over studievoortgang, studieresultaten, gedrag en de ontwikkeling van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leerling.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3: Bijdrage aan onderwijsontwikkeling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houdt zich op de hoogte van relevante ontwikkelingen in het veld en vakinhoudelijke ontwikkelingen en </w:t>
      </w:r>
    </w:p>
    <w:p w:rsidR="00955D19" w:rsidRDefault="00955D19" w:rsidP="00955D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FUWA-VO 2010.1.62 Besturenraad </w:t>
      </w:r>
    </w:p>
    <w:p w:rsidR="00955D19" w:rsidRDefault="00955D19" w:rsidP="00955D19">
      <w:pPr>
        <w:pStyle w:val="Default"/>
        <w:pageBreakBefore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 xml:space="preserve">Blz. 24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Docent LB </w:t>
      </w:r>
    </w:p>
    <w:p w:rsidR="00955D19" w:rsidRDefault="00955D19" w:rsidP="00955D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FUWA-VO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vertaalt deze naar vernieuwingen en verbeteringen van onderwijs(onderdelen) en toetsen;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draagt bij aan het (in teamverband) ontwikkelen, uitwerken en verbeteren van een deelgebied van het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draagt bij aan het (in teamverband) ontwerpen van alternatieve onderwijsonderdelen, onderdelen van het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curriculum, onderwijsmateriaal, leermiddelen, toetsen, leersituaties e.d. voor de eigen </w:t>
      </w:r>
      <w:proofErr w:type="spellStart"/>
      <w:r>
        <w:rPr>
          <w:rFonts w:ascii="Times New Roman" w:hAnsi="Times New Roman" w:cs="Times New Roman"/>
          <w:sz w:val="20"/>
          <w:szCs w:val="20"/>
        </w:rPr>
        <w:t>vaksectie,en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voorstellen ten aanzien van de organisatie van het onderwijs;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participeert in project- en werkgroepen die zijn belast met het ontwikkelen van onderwijs en toetsen.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4: Beoordeling leerlingen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stelt, op basis van het vereiste niveau, toetsen op voor het vaststellen van het behaalde niveau van kennis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vaardigheden;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neemt toetsen af en onderbouwt evalueert op basis daarvan de leerprocessen en leerresultaten.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5: Begeleiding studieloopbaan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adviseert over studieloopbaan keuze en stimuleert zelfregie;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begeleidt leerlingen bij het ontwikkelen van een persoonlijk ontwikkelingsplan en portfolio;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begeleidt het keuzeproces binnen de studie, door de leerling te adviseren en te verwijzen naar de juiste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kanalen (personen, instanties etc.).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Resultaatgebied 6: Professionalisering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houdt actief de voor het beroep vereiste pedagogische en didactische bekwaamheden op peil;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houdt zich actief op de hoogte van ontwikkelingen in het vakgebied en in het onderwijsveld;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begeleidt onderwijsassistenten en instructeurs, geeft feedback, coacht en superviseert. </w:t>
      </w:r>
    </w:p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4. Kader, bevoegdheden &amp; verantwoordelijkheden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-Beslist over/bij: het overdragen van kennis/expertise en vaardigheden, het zorg dragen voor passend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onderwijs, de bijdrage aan het ontwikkelen, uitwerken en verbeteren van een deelgebied van het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onderwijs; het beoordelen van leerlingen, het adviseren van de leerling bij de studieloopbaan keuze 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stimuleren van zelfregie, de eigen professionalisering.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-Kader: het curriculum, het schoolplan en de didactische uitgangspunten van het onderwijs van de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schoolorganisatie.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-Verantwoording: aan de toegewezen leidinggevende over de kwaliteit van het onderwijs, de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leerlingbegeleiding, de bijdrage aan de ontwikkeling van het onderwijs, de beoordeling van leerlingen,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begeleiding van de studieloopbaan en professionalisering. </w:t>
      </w:r>
    </w:p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5. Kennis en vaardigheden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algemeen theoretische vakinhoudelijke kennis;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algemeen theoretische pedagogische en didactische kennis en kennis van diverse, actuele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onderwijskundige methoden en technieken;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kennis van en inzicht in actuele ontwikkelingen binnen het eigen vakgebied/de vakgebieden en- inzicht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onderwijskundige samenhangen in relatie tot het eigen werkterrein;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kennis van de organisatie van het onderwijs;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vaardigheid in het overdragen van kennis en vaardigheden;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vaardigheid in het toepassen van pedagogisch-didactische methoden en technieken;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vaardigheid in het coachen en begeleiden van (individuele en/of groepen) leerlingen en/of van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onderwijsassistenten en instructeurs;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organiserende en communicatieve vaardigheden. </w:t>
      </w:r>
    </w:p>
    <w:p w:rsidR="00955D19" w:rsidRDefault="00955D19" w:rsidP="00955D19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6. Contacten </w:t>
      </w:r>
    </w:p>
    <w:p w:rsidR="00955D19" w:rsidRDefault="00955D19" w:rsidP="00955D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FUWA-VO 2010.1.62 Besturenraad </w:t>
      </w:r>
    </w:p>
    <w:p w:rsidR="00955D19" w:rsidRDefault="00955D19" w:rsidP="00955D19">
      <w:pPr>
        <w:pStyle w:val="Default"/>
        <w:pageBreakBefore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 xml:space="preserve">Blz. 25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Docent LB </w:t>
      </w:r>
    </w:p>
    <w:p w:rsidR="00955D19" w:rsidRDefault="00955D19" w:rsidP="00955D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FUWA-VO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met leerlingen over studievoortgang en gedrag en om hen te begeleiden, tot betere studieresultaten te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komen, te corrigeren, af te stemmen en te stimuleren;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met ouders over de studievoortgang, resultaten, gedrag en ontwikkeling van de leerling om hen te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informeren en tot afspraken te komen;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met collega's, (in- en externe) deskundigen en ouders over leer- en gedragsproblemen om deze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bespreekbaar te maken en af te stemmen over te nemen stappen;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met onderwijsassistenten en instructeurs om hen feedback te geven, te coachen en te superviseren;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met instellingen voor vervolgonderwijs om op de hoogte te blijven van relevante ontwikkelingen in het </w:t>
      </w:r>
    </w:p>
    <w:p w:rsidR="00955D19" w:rsidRDefault="00955D19" w:rsidP="00955D1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veld en vakinhoudelijke ontwikkelingen. </w:t>
      </w:r>
    </w:p>
    <w:p w:rsidR="00955D19" w:rsidRDefault="00955D19" w:rsidP="00955D19">
      <w:pPr>
        <w:pStyle w:val="Default"/>
        <w:rPr>
          <w:sz w:val="17"/>
          <w:szCs w:val="17"/>
        </w:rPr>
      </w:pPr>
      <w:r>
        <w:rPr>
          <w:sz w:val="17"/>
          <w:szCs w:val="17"/>
        </w:rPr>
        <w:t>FUWA-VO 2010.</w:t>
      </w:r>
      <w:bookmarkStart w:id="0" w:name="_GoBack"/>
      <w:bookmarkEnd w:id="0"/>
      <w:r>
        <w:rPr>
          <w:sz w:val="17"/>
          <w:szCs w:val="17"/>
        </w:rPr>
        <w:t xml:space="preserve"> </w:t>
      </w:r>
    </w:p>
    <w:p w:rsidR="002F4403" w:rsidRDefault="00955D19"/>
    <w:sectPr w:rsidR="002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9"/>
    <w:rsid w:val="00883A1E"/>
    <w:rsid w:val="008C78D6"/>
    <w:rsid w:val="009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5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5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Meerwaarde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Hooijer - ter Maaten W.</dc:creator>
  <cp:lastModifiedBy>Hooijer - ter Maaten W.</cp:lastModifiedBy>
  <cp:revision>1</cp:revision>
  <dcterms:created xsi:type="dcterms:W3CDTF">2012-09-19T06:01:00Z</dcterms:created>
  <dcterms:modified xsi:type="dcterms:W3CDTF">2012-09-19T06:03:00Z</dcterms:modified>
</cp:coreProperties>
</file>